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0E" w:rsidRDefault="00AB6E0E" w:rsidP="00AB6E0E">
      <w:pPr>
        <w:jc w:val="center"/>
        <w:rPr>
          <w:lang w:val="ka-GE"/>
        </w:rPr>
      </w:pPr>
      <w:r>
        <w:t xml:space="preserve">C </w:t>
      </w:r>
      <w:r>
        <w:rPr>
          <w:lang w:val="ka-GE"/>
        </w:rPr>
        <w:t>ჰეპატიტის მართვის სახელმწიფო პროგრამა</w:t>
      </w:r>
    </w:p>
    <w:p w:rsidR="00AB6E0E" w:rsidRDefault="00AB6E0E" w:rsidP="00AB6E0E">
      <w:pPr>
        <w:jc w:val="center"/>
      </w:pPr>
      <w:r>
        <w:rPr>
          <w:lang w:val="ka-GE"/>
        </w:rPr>
        <w:t>მედიკამენტები</w:t>
      </w:r>
    </w:p>
    <w:p w:rsidR="00AB6E0E" w:rsidRDefault="00AB6E0E" w:rsidP="0018397F">
      <w:pPr>
        <w:jc w:val="both"/>
      </w:pPr>
    </w:p>
    <w:p w:rsidR="009A0719" w:rsidRDefault="0018397F" w:rsidP="0018397F">
      <w:pPr>
        <w:jc w:val="both"/>
        <w:rPr>
          <w:lang w:val="ka-GE"/>
        </w:rPr>
      </w:pPr>
      <w:r>
        <w:t xml:space="preserve">C </w:t>
      </w:r>
      <w:r>
        <w:rPr>
          <w:lang w:val="ka-GE"/>
        </w:rPr>
        <w:t>ჰეპატიტის მართვის სახელმწიფო პროგრამა დაიწყო 2015 წლის 20 აპრილიდან. პროგრამის პირველი ფაზისთვის, გადაუდებელი ტიპის ამოცანად განისაზღვრა ღვიძლის დაზიანების მაღალი ხარისხის მქონე ბენეფიციართა მკურნალობა, რაც ექსპერტთა პროგნოზული გათვლებით შეადგენდა დაახლოებით 5000 ბენეფიციარს.</w:t>
      </w:r>
      <w:r w:rsidR="009A0719">
        <w:rPr>
          <w:lang w:val="ka-GE"/>
        </w:rPr>
        <w:t xml:space="preserve"> </w:t>
      </w:r>
    </w:p>
    <w:p w:rsidR="00F1613E" w:rsidRDefault="0009141D" w:rsidP="0018397F">
      <w:pPr>
        <w:jc w:val="both"/>
        <w:rPr>
          <w:lang w:val="ka-GE"/>
        </w:rPr>
      </w:pPr>
      <w:r>
        <w:rPr>
          <w:lang w:val="ka-GE"/>
        </w:rPr>
        <w:t xml:space="preserve">ექსპერტების მიერ შემუშავებული </w:t>
      </w:r>
      <w:r w:rsidR="0018397F">
        <w:t xml:space="preserve">C </w:t>
      </w:r>
      <w:r w:rsidR="0018397F">
        <w:rPr>
          <w:lang w:val="ka-GE"/>
        </w:rPr>
        <w:t xml:space="preserve">ჰეპატიტის მკურნალობის პროტოკოლის შესაბამისად, </w:t>
      </w:r>
      <w:r>
        <w:rPr>
          <w:lang w:val="ka-GE"/>
        </w:rPr>
        <w:t>განსხვავებული იყო მკურნალობის რეჟიმები გენოტიპებისა და ღვიძლის დაზიანების ხარისხის მიხედვით. აღნიშნული მონაცემების გათვალისწინებით, მედიკამენტ სოფოსბუვირთან</w:t>
      </w:r>
      <w:r w:rsidR="0095662C">
        <w:rPr>
          <w:lang w:val="ka-GE"/>
        </w:rPr>
        <w:t xml:space="preserve"> (სოვალდი)</w:t>
      </w:r>
      <w:r>
        <w:rPr>
          <w:lang w:val="ka-GE"/>
        </w:rPr>
        <w:t xml:space="preserve"> ერთად პირველ ეტაპზე, გამოიყენებოდა მედიკამენტი ინტერფერონი და რიბავირინი</w:t>
      </w:r>
      <w:r w:rsidR="0095662C">
        <w:rPr>
          <w:lang w:val="ka-GE"/>
        </w:rPr>
        <w:t xml:space="preserve">, 12, 20 </w:t>
      </w:r>
      <w:r>
        <w:rPr>
          <w:lang w:val="ka-GE"/>
        </w:rPr>
        <w:t>ან 24 კვირიანი სამკურნალო რეჟიმებით</w:t>
      </w:r>
      <w:r w:rsidR="0095662C">
        <w:rPr>
          <w:lang w:val="ka-GE"/>
        </w:rPr>
        <w:t>. ამასთან, საჭირო სავარ</w:t>
      </w:r>
      <w:r w:rsidR="00666FBF">
        <w:rPr>
          <w:lang w:val="ka-GE"/>
        </w:rPr>
        <w:t>ა</w:t>
      </w:r>
      <w:r w:rsidR="0095662C">
        <w:rPr>
          <w:lang w:val="ka-GE"/>
        </w:rPr>
        <w:t>უდო რაოდენობების გათვლა განხორციელდა მედიკამენტის დანიშნულების პრინციპების გათვალისწინებით, კერძოდ, სოფოსბუვირი გაიცემა თვეში 1 კოლოფი, ინტერფერონი გამოიყენება კვირაში 1 ამპულა, ხოლო რიბავირინის ხარჯვა ხორციელდება საშუალოდ (პაციენტის წონის და ღვიძლის მდგომარეობის გათვალისწინებით) კვირაში 42 აბის ოდენობით  (იხ. თანდართული სამუშაო ფაილი)</w:t>
      </w:r>
      <w:r w:rsidR="00F1613E">
        <w:rPr>
          <w:lang w:val="ka-GE"/>
        </w:rPr>
        <w:t>.</w:t>
      </w:r>
    </w:p>
    <w:p w:rsidR="0095662C" w:rsidRDefault="00F1613E" w:rsidP="0095662C">
      <w:pPr>
        <w:jc w:val="both"/>
        <w:rPr>
          <w:lang w:val="ka-GE"/>
        </w:rPr>
      </w:pPr>
      <w:r>
        <w:rPr>
          <w:lang w:val="ka-GE"/>
        </w:rPr>
        <w:t>ყოველივე ზემოაღნიშნულის გათვალი</w:t>
      </w:r>
      <w:r w:rsidR="00C95BE5">
        <w:rPr>
          <w:lang w:val="ka-GE"/>
        </w:rPr>
        <w:t>ს</w:t>
      </w:r>
      <w:r>
        <w:rPr>
          <w:lang w:val="ka-GE"/>
        </w:rPr>
        <w:t xml:space="preserve">წინებით, </w:t>
      </w:r>
      <w:r w:rsidR="00190EFB">
        <w:rPr>
          <w:lang w:val="ka-GE"/>
        </w:rPr>
        <w:t xml:space="preserve">პირველ ეტაპზე შეკვეთა განხორციელდა 8000 კოლოფი </w:t>
      </w:r>
      <w:r w:rsidR="00AB6E0E">
        <w:rPr>
          <w:lang w:val="ka-GE"/>
        </w:rPr>
        <w:t>სოფოსბუვირის</w:t>
      </w:r>
      <w:r w:rsidR="00190EFB">
        <w:rPr>
          <w:lang w:val="ka-GE"/>
        </w:rPr>
        <w:t xml:space="preserve"> მოწოდების თხოვნით (</w:t>
      </w:r>
      <w:r w:rsidR="00A77545">
        <w:rPr>
          <w:lang w:val="ka-GE"/>
        </w:rPr>
        <w:t>იხ. თანდართული წერილები</w:t>
      </w:r>
      <w:r w:rsidR="00190EFB">
        <w:rPr>
          <w:lang w:val="ka-GE"/>
        </w:rPr>
        <w:t>)</w:t>
      </w:r>
      <w:r>
        <w:rPr>
          <w:lang w:val="ka-GE"/>
        </w:rPr>
        <w:t xml:space="preserve">, ხოლო შემდეგ ეტაპობრივად </w:t>
      </w:r>
      <w:r w:rsidR="0095662C">
        <w:rPr>
          <w:lang w:val="ka-GE"/>
        </w:rPr>
        <w:t>4</w:t>
      </w:r>
      <w:r>
        <w:rPr>
          <w:lang w:val="ka-GE"/>
        </w:rPr>
        <w:t xml:space="preserve">-ჯერ მოგვეწოდა მედიკამენტი წლის ბოლომდე, </w:t>
      </w:r>
      <w:r w:rsidR="0095662C">
        <w:rPr>
          <w:lang w:val="ka-GE"/>
        </w:rPr>
        <w:t>სულ 25 000 კოლოფი (იხ. თანდართული სამუშაო ფაილი).</w:t>
      </w:r>
      <w:r w:rsidR="009A0719">
        <w:rPr>
          <w:lang w:val="ka-GE"/>
        </w:rPr>
        <w:t xml:space="preserve"> </w:t>
      </w:r>
      <w:r w:rsidR="00C95BE5">
        <w:rPr>
          <w:lang w:val="ka-GE"/>
        </w:rPr>
        <w:t>ინტერფერონი და რიბავირინი 2015 წელს მივიღეთ შესაბამისად, 38 365 ამპულისა და 5 247 996 აბის ოდენობით.</w:t>
      </w:r>
    </w:p>
    <w:p w:rsidR="00C95BE5" w:rsidRDefault="009A0719" w:rsidP="0095662C">
      <w:pPr>
        <w:jc w:val="both"/>
        <w:rPr>
          <w:lang w:val="ka-GE"/>
        </w:rPr>
      </w:pPr>
      <w:r>
        <w:rPr>
          <w:lang w:val="ka-GE"/>
        </w:rPr>
        <w:t>პაციენტთა ჩართვა პროგრამაში ხორციელდება კომისიური წესით. 2015 წელს კომისიის დადებითი გადაწყვეტილებ</w:t>
      </w:r>
      <w:r w:rsidR="00707983">
        <w:rPr>
          <w:lang w:val="ka-GE"/>
        </w:rPr>
        <w:t>ით პროგრამაში ჩაერთო</w:t>
      </w:r>
      <w:r>
        <w:rPr>
          <w:lang w:val="ka-GE"/>
        </w:rPr>
        <w:t xml:space="preserve"> 6024 </w:t>
      </w:r>
      <w:r w:rsidR="00707983">
        <w:rPr>
          <w:lang w:val="ka-GE"/>
        </w:rPr>
        <w:t>პაციენტი (დაგეგმილი 5 000 ნაცვლად)</w:t>
      </w:r>
      <w:r>
        <w:rPr>
          <w:lang w:val="ka-GE"/>
        </w:rPr>
        <w:t>.</w:t>
      </w:r>
    </w:p>
    <w:p w:rsidR="003558C6" w:rsidRPr="00A34E63" w:rsidRDefault="003558C6" w:rsidP="00A34E63">
      <w:pPr>
        <w:spacing w:after="60" w:line="276" w:lineRule="auto"/>
        <w:jc w:val="both"/>
        <w:rPr>
          <w:bCs/>
          <w:lang w:val="ka-GE"/>
        </w:rPr>
      </w:pPr>
      <w:r w:rsidRPr="003558C6">
        <w:rPr>
          <w:lang w:val="ka-GE"/>
        </w:rPr>
        <w:t xml:space="preserve">2015 </w:t>
      </w:r>
      <w:r>
        <w:rPr>
          <w:lang w:val="ka-GE"/>
        </w:rPr>
        <w:t xml:space="preserve">წლის მაისიდან-აგვისტოს ჩათვლით, </w:t>
      </w:r>
      <w:r w:rsidRPr="003558C6">
        <w:rPr>
          <w:lang w:val="ka-GE"/>
        </w:rPr>
        <w:t xml:space="preserve">დაავადებათა კონტროლისა და საზოგადოებრივი ჯანმრთელობის ეროვნული ცენტრის (NCDC) </w:t>
      </w:r>
      <w:proofErr w:type="spellStart"/>
      <w:r w:rsidRPr="003558C6">
        <w:rPr>
          <w:lang w:val="ka-GE"/>
        </w:rPr>
        <w:t>და</w:t>
      </w:r>
      <w:proofErr w:type="spellEnd"/>
      <w:r w:rsidRPr="003558C6">
        <w:rPr>
          <w:lang w:val="ka-GE"/>
        </w:rPr>
        <w:t xml:space="preserve"> </w:t>
      </w:r>
      <w:proofErr w:type="spellStart"/>
      <w:r w:rsidRPr="003558C6">
        <w:rPr>
          <w:lang w:val="ka-GE"/>
        </w:rPr>
        <w:t>აშშ-ის</w:t>
      </w:r>
      <w:proofErr w:type="spellEnd"/>
      <w:r w:rsidRPr="003558C6">
        <w:rPr>
          <w:lang w:val="ka-GE"/>
        </w:rPr>
        <w:t xml:space="preserve"> </w:t>
      </w:r>
      <w:proofErr w:type="spellStart"/>
      <w:r w:rsidRPr="003558C6">
        <w:rPr>
          <w:lang w:val="ka-GE"/>
        </w:rPr>
        <w:t>დაავადებათა</w:t>
      </w:r>
      <w:proofErr w:type="spellEnd"/>
      <w:r w:rsidRPr="003558C6">
        <w:rPr>
          <w:lang w:val="ka-GE"/>
        </w:rPr>
        <w:t xml:space="preserve"> </w:t>
      </w:r>
      <w:proofErr w:type="spellStart"/>
      <w:r w:rsidRPr="003558C6">
        <w:rPr>
          <w:lang w:val="ka-GE"/>
        </w:rPr>
        <w:t>კონტროლისა</w:t>
      </w:r>
      <w:proofErr w:type="spellEnd"/>
      <w:r w:rsidRPr="003558C6">
        <w:rPr>
          <w:lang w:val="ka-GE"/>
        </w:rPr>
        <w:t xml:space="preserve"> </w:t>
      </w:r>
      <w:proofErr w:type="spellStart"/>
      <w:r w:rsidRPr="003558C6">
        <w:rPr>
          <w:lang w:val="ka-GE"/>
        </w:rPr>
        <w:t>და</w:t>
      </w:r>
      <w:proofErr w:type="spellEnd"/>
      <w:r w:rsidRPr="003558C6">
        <w:rPr>
          <w:lang w:val="ka-GE"/>
        </w:rPr>
        <w:t xml:space="preserve"> </w:t>
      </w:r>
      <w:proofErr w:type="spellStart"/>
      <w:r w:rsidRPr="003558C6">
        <w:rPr>
          <w:lang w:val="ka-GE"/>
        </w:rPr>
        <w:t>პრევენციის</w:t>
      </w:r>
      <w:proofErr w:type="spellEnd"/>
      <w:r w:rsidRPr="003558C6">
        <w:rPr>
          <w:lang w:val="ka-GE"/>
        </w:rPr>
        <w:t xml:space="preserve"> ცენტრების (CDC) მიერ </w:t>
      </w:r>
      <w:r w:rsidR="00A34E63" w:rsidRPr="003558C6">
        <w:rPr>
          <w:lang w:val="ka-GE"/>
        </w:rPr>
        <w:t>ჩატარ</w:t>
      </w:r>
      <w:r w:rsidR="00A34E63">
        <w:rPr>
          <w:lang w:val="ka-GE"/>
        </w:rPr>
        <w:t xml:space="preserve">და </w:t>
      </w:r>
      <w:r w:rsidR="00A34E63" w:rsidRPr="00A34E63">
        <w:rPr>
          <w:rFonts w:cs="Times New Roman"/>
          <w:b/>
          <w:szCs w:val="24"/>
          <w:lang w:val="ka-GE"/>
        </w:rPr>
        <w:t>C ჰეპატიტის სეროპრევალენტობის პოპულაციური კვლევა</w:t>
      </w:r>
      <w:r w:rsidR="00A34E63" w:rsidRPr="00A34E63">
        <w:rPr>
          <w:rFonts w:cs="Times New Roman"/>
          <w:szCs w:val="24"/>
          <w:lang w:val="ka-GE"/>
        </w:rPr>
        <w:t xml:space="preserve">, რომელიც მიზნად ისახავდა მოსახლეობაში HCV ინფექციის გავრცელების დადგენას, ასევე საქართველოში HCV ინფექციის რისკ-ფაქტორების შეფასებას, C ჰეპატიტის ცირკულირებადი გენოტიპების აღწერას, C ჰეპატიტის, მისი პრევენციისა და მკურნალობის შესახებ ცოდნისა და აღქმის შეფასებას. კვლევის შედეგების მიხედვით, გამოკვლეული მოსახლეობის 7.7% ანტი-HCV დადებითია, ხოლო 5.4% </w:t>
      </w:r>
      <w:r w:rsidR="00A34E63" w:rsidRPr="00A34E63">
        <w:rPr>
          <w:rFonts w:ascii="Times New Roman" w:hAnsi="Times New Roman" w:cs="Times New Roman"/>
          <w:szCs w:val="24"/>
          <w:lang w:val="ka-GE"/>
        </w:rPr>
        <w:t>−</w:t>
      </w:r>
      <w:r w:rsidR="00A34E63" w:rsidRPr="00A34E63">
        <w:rPr>
          <w:rFonts w:cs="Times New Roman"/>
          <w:szCs w:val="24"/>
          <w:lang w:val="ka-GE"/>
        </w:rPr>
        <w:t xml:space="preserve"> HCV რნმ დადებითი.</w:t>
      </w:r>
      <w:r w:rsidR="00A34E63">
        <w:rPr>
          <w:bCs/>
          <w:lang w:val="ka-GE"/>
        </w:rPr>
        <w:t xml:space="preserve"> </w:t>
      </w:r>
      <w:r w:rsidR="00A34E63">
        <w:rPr>
          <w:lang w:val="ka-GE"/>
        </w:rPr>
        <w:t>რაც იმას ნიშნავს, რომ</w:t>
      </w:r>
      <w:r>
        <w:rPr>
          <w:lang w:val="ka-GE"/>
        </w:rPr>
        <w:t xml:space="preserve"> </w:t>
      </w:r>
      <w:r w:rsidR="00A34E63">
        <w:rPr>
          <w:lang w:val="ka-GE"/>
        </w:rPr>
        <w:t>საქართველოში</w:t>
      </w:r>
      <w:r w:rsidR="00A34E63">
        <w:rPr>
          <w:lang w:val="ka-GE"/>
        </w:rPr>
        <w:t xml:space="preserve"> დაახლოებით 150 000 ადამიანი დაავადებულია </w:t>
      </w:r>
      <w:r w:rsidR="00A34E63" w:rsidRPr="003558C6">
        <w:rPr>
          <w:lang w:val="ka-GE"/>
        </w:rPr>
        <w:t>C ჰეპატიტის</w:t>
      </w:r>
      <w:r w:rsidR="00A34E63">
        <w:rPr>
          <w:lang w:val="ka-GE"/>
        </w:rPr>
        <w:t xml:space="preserve"> </w:t>
      </w:r>
      <w:r w:rsidR="00A34E63" w:rsidRPr="003558C6">
        <w:rPr>
          <w:lang w:val="ka-GE"/>
        </w:rPr>
        <w:t>აქტიური ფორმი</w:t>
      </w:r>
      <w:r w:rsidR="00A34E63">
        <w:rPr>
          <w:lang w:val="ka-GE"/>
        </w:rPr>
        <w:t xml:space="preserve">თ. </w:t>
      </w:r>
    </w:p>
    <w:p w:rsidR="00A34E63" w:rsidRDefault="00C71529" w:rsidP="00EF2CEE">
      <w:pPr>
        <w:jc w:val="both"/>
        <w:rPr>
          <w:lang w:val="ka-GE"/>
        </w:rPr>
      </w:pPr>
      <w:r>
        <w:rPr>
          <w:lang w:val="ka-GE"/>
        </w:rPr>
        <w:t>ამასთან</w:t>
      </w:r>
      <w:r w:rsidR="00903F7E">
        <w:rPr>
          <w:lang w:val="ka-GE"/>
        </w:rPr>
        <w:t>,</w:t>
      </w:r>
      <w:r>
        <w:rPr>
          <w:lang w:val="ka-GE"/>
        </w:rPr>
        <w:t xml:space="preserve"> ელიმინაციის</w:t>
      </w:r>
      <w:r w:rsidR="00903F7E">
        <w:rPr>
          <w:lang w:val="ka-GE"/>
        </w:rPr>
        <w:t xml:space="preserve"> მისაღწევად, ჩვენი მიზანია დაავადებულთა 90% დიაგნოსტირება, მათ შორის 95% მკურნალობა და ნამკურნალევთა შორის 95% განკურნება.</w:t>
      </w:r>
    </w:p>
    <w:p w:rsidR="00903F7E" w:rsidRPr="00C71529" w:rsidRDefault="00903F7E" w:rsidP="00EF2CEE">
      <w:pPr>
        <w:jc w:val="both"/>
      </w:pPr>
      <w:r>
        <w:rPr>
          <w:lang w:val="ka-GE"/>
        </w:rPr>
        <w:t xml:space="preserve">აღნიშნული პრინციპების, ასევე პროგრამის გამტარუნარიანობის (მიმწოდებელ კლინიკათა რაოდენობა) გათვალისწინებით ხორციელდებოდა პროგრამის ფარგლებში პაციენტთა წლიური რაოდენობების დაგეგმვა </w:t>
      </w:r>
      <w:r w:rsidR="00666FBF">
        <w:rPr>
          <w:lang w:val="ka-GE"/>
        </w:rPr>
        <w:t xml:space="preserve">საშუალოდ </w:t>
      </w:r>
      <w:bookmarkStart w:id="0" w:name="_GoBack"/>
      <w:bookmarkEnd w:id="0"/>
      <w:r>
        <w:rPr>
          <w:lang w:val="ka-GE"/>
        </w:rPr>
        <w:t>20 000-25 000 ოდენობით.</w:t>
      </w:r>
    </w:p>
    <w:p w:rsidR="004E118C" w:rsidRDefault="007D5A22" w:rsidP="00EF2CEE">
      <w:pPr>
        <w:jc w:val="both"/>
        <w:rPr>
          <w:lang w:val="ka-GE"/>
        </w:rPr>
      </w:pPr>
      <w:r>
        <w:rPr>
          <w:lang w:val="ka-GE"/>
        </w:rPr>
        <w:lastRenderedPageBreak/>
        <w:t xml:space="preserve">2016 წლიდან </w:t>
      </w:r>
      <w:r w:rsidR="00EF2CEE">
        <w:rPr>
          <w:lang w:val="ka-GE"/>
        </w:rPr>
        <w:t>პროგრამა ეტაპობრივად გაფართოვდა. გაიზარდა</w:t>
      </w:r>
      <w:r w:rsidR="00AB6E0E">
        <w:rPr>
          <w:lang w:val="ka-GE"/>
        </w:rPr>
        <w:t>,</w:t>
      </w:r>
      <w:r w:rsidR="00EF2CEE">
        <w:rPr>
          <w:lang w:val="ka-GE"/>
        </w:rPr>
        <w:t xml:space="preserve"> როგორც მიმწოდებელი დაწესებულებების, ასევე პაციენტთა რაოდენობა. განსაკუთრებით მკვეთრი ზრდა დაფიქსირდა 2016 წლის ივნისი-ოქტომბრის თვეებში, როცა თვეში საშუალოდ 3000-3200 პაციენტი ერთვებოდა პროგრამაში. მეორე ფაზაში უკვე მოგვეწოდებოდა მედიკამენტი სოფოსბუვირ/ველპატასვირი (სოფოსბუვირთან ერთად). ორივე მედიკამენტის წლიური რაოდენობების</w:t>
      </w:r>
      <w:r>
        <w:rPr>
          <w:lang w:val="ka-GE"/>
        </w:rPr>
        <w:t xml:space="preserve"> </w:t>
      </w:r>
      <w:r w:rsidR="00EF2CEE">
        <w:rPr>
          <w:lang w:val="ka-GE"/>
        </w:rPr>
        <w:t xml:space="preserve">პირობითი გათვლა გაკეთდა 20 000 პაციენტზე წლიურად (იხ. </w:t>
      </w:r>
      <w:r w:rsidR="005E5657">
        <w:rPr>
          <w:lang w:val="ka-GE"/>
        </w:rPr>
        <w:t xml:space="preserve">თანდართული </w:t>
      </w:r>
      <w:r w:rsidR="00EF2CEE">
        <w:rPr>
          <w:lang w:val="ka-GE"/>
        </w:rPr>
        <w:t>სამუშაო ფაილი). ამასთან, სოფოსბუვირ/ველპატასვირის გამოყენებასთან ერთად კლინიკებში შემცირდა სოფოსბუვირის გამოყენება, შესაბამისად, შეკვეთები განხორციელდა ხარჯვის მონაცემების გათვალისწინებით. სულ 2016 წლის განმავლობაში განხორციელდა მედიკამენტების მოწოდება 5 ეტაპად</w:t>
      </w:r>
      <w:r w:rsidR="00AB6E0E">
        <w:rPr>
          <w:lang w:val="ka-GE"/>
        </w:rPr>
        <w:t xml:space="preserve"> (სულ, სოფოსბუვირი - 13 500 კოლოფი, ხოლო სოფოსბუვირ/ველპატასვირი - 77 000 კოლოფი)</w:t>
      </w:r>
      <w:r w:rsidR="009A0719">
        <w:rPr>
          <w:lang w:val="ka-GE"/>
        </w:rPr>
        <w:t xml:space="preserve">. </w:t>
      </w:r>
      <w:r w:rsidR="003C1A2A">
        <w:rPr>
          <w:lang w:val="ka-GE"/>
        </w:rPr>
        <w:t xml:space="preserve">სოფოსბუვირის გამოყენების შემცირებასთან ერთად მკვეთრად შემცირდა ინტერფერონის და ასევე, რიბავირინის გამოყენებაც, შესაბამისად, წინასწარი გათვლებით საჭირო 55 920 ამპულა ინტერფერონისა და 9 142 560 აბი რიბავირინის ნაცვლად, 2016 წელს მივიღეთ </w:t>
      </w:r>
      <w:r w:rsidR="009A0719">
        <w:rPr>
          <w:lang w:val="ka-GE"/>
        </w:rPr>
        <w:t xml:space="preserve">ინტერფერონი და რიბავირინი  </w:t>
      </w:r>
      <w:r w:rsidR="003C1A2A">
        <w:rPr>
          <w:lang w:val="ka-GE"/>
        </w:rPr>
        <w:t xml:space="preserve">შესაბამისად, </w:t>
      </w:r>
      <w:r w:rsidR="009A0719">
        <w:rPr>
          <w:lang w:val="ka-GE"/>
        </w:rPr>
        <w:t>7000 ამპულ</w:t>
      </w:r>
      <w:r w:rsidR="003C1A2A">
        <w:rPr>
          <w:lang w:val="ka-GE"/>
        </w:rPr>
        <w:t>ისა</w:t>
      </w:r>
      <w:r w:rsidR="009A0719">
        <w:rPr>
          <w:lang w:val="ka-GE"/>
        </w:rPr>
        <w:t xml:space="preserve"> და </w:t>
      </w:r>
      <w:r w:rsidR="009A0719">
        <w:t xml:space="preserve">7 218 736 </w:t>
      </w:r>
      <w:r w:rsidR="009A0719">
        <w:rPr>
          <w:lang w:val="ka-GE"/>
        </w:rPr>
        <w:t>აბი</w:t>
      </w:r>
      <w:r w:rsidR="003C1A2A">
        <w:rPr>
          <w:lang w:val="ka-GE"/>
        </w:rPr>
        <w:t xml:space="preserve">ს ოდენობით. </w:t>
      </w:r>
    </w:p>
    <w:p w:rsidR="00707983" w:rsidRDefault="003C1A2A" w:rsidP="003C1A2A">
      <w:pPr>
        <w:jc w:val="both"/>
        <w:rPr>
          <w:lang w:val="ka-GE"/>
        </w:rPr>
      </w:pPr>
      <w:r>
        <w:rPr>
          <w:lang w:val="ka-GE"/>
        </w:rPr>
        <w:t xml:space="preserve">2016 წელს </w:t>
      </w:r>
      <w:r w:rsidR="00707983">
        <w:rPr>
          <w:lang w:val="ka-GE"/>
        </w:rPr>
        <w:t xml:space="preserve">კომისიის დადებითი გადაწყვეტილებით პროგრამაში ჩაერთო 24 438 პაციენტი (დაგეგმილი 20 000 ნაცვლად). </w:t>
      </w:r>
    </w:p>
    <w:p w:rsidR="003C1A2A" w:rsidRDefault="005E5657" w:rsidP="003C1A2A">
      <w:pPr>
        <w:jc w:val="both"/>
        <w:rPr>
          <w:lang w:val="ka-GE"/>
        </w:rPr>
      </w:pPr>
      <w:r>
        <w:rPr>
          <w:lang w:val="ka-GE"/>
        </w:rPr>
        <w:t>2017 წლისათვის საჭირო რაოდენობების პირობითი გათვლა ასევე, განხორციელდა 20 000 პაციენტზე წლიურად (იხ. თანდართული სამუშაო ფაილი). თუმცა 2016 წლის ბოლოსკენ პაციე</w:t>
      </w:r>
      <w:r w:rsidR="00AB6E0E">
        <w:rPr>
          <w:lang w:val="ka-GE"/>
        </w:rPr>
        <w:t>ნ</w:t>
      </w:r>
      <w:r>
        <w:rPr>
          <w:lang w:val="ka-GE"/>
        </w:rPr>
        <w:t>ტთა აქტივობის და შესაბამისად</w:t>
      </w:r>
      <w:r w:rsidR="003C1A2A">
        <w:rPr>
          <w:lang w:val="ka-GE"/>
        </w:rPr>
        <w:t>,</w:t>
      </w:r>
      <w:r>
        <w:rPr>
          <w:lang w:val="ka-GE"/>
        </w:rPr>
        <w:t xml:space="preserve"> ხარჯვის კლების გათვალისწინებით, შეკვეთა განხორციელდა 50 000 კოლოფი სოფოსბუვირ/ველპატასვირის მოთხოვნით (აქედან 7200 კოლოფი მოგვეწოდა 2016 წლის დეკემბერში, ხოლო 42 088 კოლოფი 2017 წლის თებ</w:t>
      </w:r>
      <w:r w:rsidR="009A0719">
        <w:rPr>
          <w:lang w:val="ka-GE"/>
        </w:rPr>
        <w:t>ე</w:t>
      </w:r>
      <w:r>
        <w:rPr>
          <w:lang w:val="ka-GE"/>
        </w:rPr>
        <w:t>რვალში</w:t>
      </w:r>
      <w:r w:rsidR="009A0719">
        <w:rPr>
          <w:lang w:val="ka-GE"/>
        </w:rPr>
        <w:t>)</w:t>
      </w:r>
      <w:r>
        <w:rPr>
          <w:lang w:val="ka-GE"/>
        </w:rPr>
        <w:t>.</w:t>
      </w:r>
      <w:r w:rsidR="003C1A2A">
        <w:rPr>
          <w:lang w:val="ka-GE"/>
        </w:rPr>
        <w:t xml:space="preserve"> ინტერფერონისა და რიბავირინის შემთხვევაშიც მიღებულ იქნა 2400 ამპულა ინტერფერონი და 3 767 200  აბი რიბავირინი (იხ. თანდართული სამუშაო ფაილი).</w:t>
      </w:r>
    </w:p>
    <w:p w:rsidR="005E5657" w:rsidRDefault="003C1A2A" w:rsidP="0018397F">
      <w:pPr>
        <w:pStyle w:val="ListParagraph"/>
        <w:ind w:left="0"/>
        <w:jc w:val="both"/>
        <w:rPr>
          <w:rFonts w:ascii="Sylfaen" w:hAnsi="Sylfaen"/>
          <w:lang w:val="ka-GE"/>
        </w:rPr>
      </w:pPr>
      <w:r>
        <w:rPr>
          <w:rFonts w:ascii="Sylfaen" w:hAnsi="Sylfaen"/>
          <w:lang w:val="ka-GE"/>
        </w:rPr>
        <w:t xml:space="preserve">2017 წელს დაფიქსირდა პაციენტთა რაოდენობის კლება 2016 წელთან შედარებით. თვეში საშუალოდ </w:t>
      </w:r>
      <w:r w:rsidR="00707983">
        <w:rPr>
          <w:rFonts w:ascii="Sylfaen" w:hAnsi="Sylfaen"/>
          <w:lang w:val="ka-GE"/>
        </w:rPr>
        <w:t>ერთვებოდა</w:t>
      </w:r>
      <w:r>
        <w:rPr>
          <w:rFonts w:ascii="Sylfaen" w:hAnsi="Sylfaen"/>
          <w:lang w:val="ka-GE"/>
        </w:rPr>
        <w:t xml:space="preserve"> 1200 პაციენტი</w:t>
      </w:r>
      <w:r w:rsidR="001601AF">
        <w:rPr>
          <w:rFonts w:ascii="Sylfaen" w:hAnsi="Sylfaen"/>
          <w:lang w:val="ka-GE"/>
        </w:rPr>
        <w:t>, სულ პროგრამაში ჩაერთო 12 885 პაციენტი (დაგეგმილი 20 000 ნაცვლად).</w:t>
      </w:r>
    </w:p>
    <w:p w:rsidR="001601AF" w:rsidRPr="00666FBF" w:rsidRDefault="001601AF" w:rsidP="0018397F">
      <w:pPr>
        <w:pStyle w:val="ListParagraph"/>
        <w:ind w:left="0"/>
        <w:jc w:val="both"/>
        <w:rPr>
          <w:rFonts w:ascii="Sylfaen" w:hAnsi="Sylfaen"/>
        </w:rPr>
      </w:pPr>
    </w:p>
    <w:sectPr w:rsidR="001601AF" w:rsidRPr="00666FBF" w:rsidSect="001601AF">
      <w:pgSz w:w="12240" w:h="15840"/>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039DC"/>
    <w:multiLevelType w:val="hybridMultilevel"/>
    <w:tmpl w:val="C260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B6E43"/>
    <w:multiLevelType w:val="hybridMultilevel"/>
    <w:tmpl w:val="B7A6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D05FA"/>
    <w:multiLevelType w:val="hybridMultilevel"/>
    <w:tmpl w:val="413C1558"/>
    <w:lvl w:ilvl="0" w:tplc="2460C0D0">
      <w:start w:val="1"/>
      <w:numFmt w:val="bullet"/>
      <w:lvlText w:val=""/>
      <w:lvlJc w:val="left"/>
      <w:pPr>
        <w:ind w:left="720" w:hanging="360"/>
      </w:pPr>
      <w:rPr>
        <w:rFonts w:ascii="Wingdings" w:hAnsi="Wingdings" w:hint="default"/>
        <w:color w:val="000000" w:themeColor="text1"/>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693F5EB0"/>
    <w:multiLevelType w:val="hybridMultilevel"/>
    <w:tmpl w:val="9ACCF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DC"/>
    <w:rsid w:val="0009141D"/>
    <w:rsid w:val="001601AF"/>
    <w:rsid w:val="0018397F"/>
    <w:rsid w:val="00190EFB"/>
    <w:rsid w:val="003558C6"/>
    <w:rsid w:val="003C1A2A"/>
    <w:rsid w:val="004E118C"/>
    <w:rsid w:val="00557687"/>
    <w:rsid w:val="005E5657"/>
    <w:rsid w:val="00666FBF"/>
    <w:rsid w:val="00707983"/>
    <w:rsid w:val="007D5A22"/>
    <w:rsid w:val="00903F7E"/>
    <w:rsid w:val="0095662C"/>
    <w:rsid w:val="00987F26"/>
    <w:rsid w:val="009A0719"/>
    <w:rsid w:val="00A34E63"/>
    <w:rsid w:val="00A77545"/>
    <w:rsid w:val="00AB6E0E"/>
    <w:rsid w:val="00C71529"/>
    <w:rsid w:val="00C95BE5"/>
    <w:rsid w:val="00D123DC"/>
    <w:rsid w:val="00D920CC"/>
    <w:rsid w:val="00EF2CEE"/>
    <w:rsid w:val="00F1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CD1C"/>
  <w15:chartTrackingRefBased/>
  <w15:docId w15:val="{7B1E4C7E-44D6-4549-9A03-180B6D9D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97F"/>
    <w:pPr>
      <w:spacing w:after="200" w:line="276"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160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1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07885">
      <w:bodyDiv w:val="1"/>
      <w:marLeft w:val="0"/>
      <w:marRight w:val="0"/>
      <w:marTop w:val="0"/>
      <w:marBottom w:val="0"/>
      <w:divBdr>
        <w:top w:val="none" w:sz="0" w:space="0" w:color="auto"/>
        <w:left w:val="none" w:sz="0" w:space="0" w:color="auto"/>
        <w:bottom w:val="none" w:sz="0" w:space="0" w:color="auto"/>
        <w:right w:val="none" w:sz="0" w:space="0" w:color="auto"/>
      </w:divBdr>
    </w:div>
    <w:div w:id="907375520">
      <w:bodyDiv w:val="1"/>
      <w:marLeft w:val="0"/>
      <w:marRight w:val="0"/>
      <w:marTop w:val="0"/>
      <w:marBottom w:val="0"/>
      <w:divBdr>
        <w:top w:val="none" w:sz="0" w:space="0" w:color="auto"/>
        <w:left w:val="none" w:sz="0" w:space="0" w:color="auto"/>
        <w:bottom w:val="none" w:sz="0" w:space="0" w:color="auto"/>
        <w:right w:val="none" w:sz="0" w:space="0" w:color="auto"/>
      </w:divBdr>
    </w:div>
    <w:div w:id="146669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6</cp:revision>
  <cp:lastPrinted>2018-06-08T10:48:00Z</cp:lastPrinted>
  <dcterms:created xsi:type="dcterms:W3CDTF">2018-06-06T14:30:00Z</dcterms:created>
  <dcterms:modified xsi:type="dcterms:W3CDTF">2018-06-08T11:12:00Z</dcterms:modified>
</cp:coreProperties>
</file>